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附件5</w:t>
            </w:r>
          </w:p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中央财政城镇保障性安居工程补助资金用于发展住房</w:t>
            </w:r>
          </w:p>
          <w:p>
            <w:pPr>
              <w:jc w:val="center"/>
              <w:rPr>
                <w:rFonts w:ascii="宋体" w:hAnsi="宋体"/>
                <w:sz w:val="44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36"/>
                <w:szCs w:val="36"/>
              </w:rPr>
              <w:t>租赁市场资金绩效目标表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（2021年度）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tbl>
            <w:tblPr>
              <w:tblStyle w:val="2"/>
              <w:tblW w:w="1060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1"/>
              <w:gridCol w:w="1073"/>
              <w:gridCol w:w="202"/>
              <w:gridCol w:w="791"/>
              <w:gridCol w:w="1336"/>
              <w:gridCol w:w="3200"/>
              <w:gridCol w:w="1024"/>
              <w:gridCol w:w="393"/>
              <w:gridCol w:w="13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  <w:jc w:val="center"/>
              </w:trPr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专项名称</w:t>
                  </w:r>
                </w:p>
              </w:tc>
              <w:tc>
                <w:tcPr>
                  <w:tcW w:w="8321" w:type="dxa"/>
                  <w:gridSpan w:val="7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中央财政城镇保障性安居工程补助资金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地区</w:t>
                  </w:r>
                </w:p>
              </w:tc>
              <w:tc>
                <w:tcPr>
                  <w:tcW w:w="5529" w:type="dxa"/>
                  <w:gridSpan w:val="4"/>
                  <w:noWrap/>
                  <w:vAlign w:val="top"/>
                </w:tcPr>
                <w:p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海曙区、江北区、 镇海区、 北仑区、 鄞州区、 奉化区、 余姚市、 慈溪市、宁海县、 象山县、杭州湾新区、 大榭开发区、梅山保税港区、国家高新区、东钱湖度假区。</w:t>
                  </w:r>
                </w:p>
              </w:tc>
              <w:tc>
                <w:tcPr>
                  <w:tcW w:w="1417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专项实施期</w:t>
                  </w:r>
                </w:p>
              </w:tc>
              <w:tc>
                <w:tcPr>
                  <w:tcW w:w="1375" w:type="dxa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2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21年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restart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资金情况</w:t>
                  </w:r>
                </w:p>
                <w:p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（万元）</w:t>
                  </w:r>
                </w:p>
              </w:tc>
              <w:tc>
                <w:tcPr>
                  <w:tcW w:w="9394" w:type="dxa"/>
                  <w:gridSpan w:val="8"/>
                  <w:noWrap/>
                  <w:vAlign w:val="top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年度金额：80000万元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66" w:type="dxa"/>
                  <w:gridSpan w:val="3"/>
                  <w:noWrap/>
                  <w:vAlign w:val="top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其中：中央补助</w:t>
                  </w:r>
                </w:p>
              </w:tc>
              <w:tc>
                <w:tcPr>
                  <w:tcW w:w="7328" w:type="dxa"/>
                  <w:gridSpan w:val="5"/>
                  <w:noWrap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80000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66" w:type="dxa"/>
                  <w:gridSpan w:val="3"/>
                  <w:noWrap/>
                  <w:vAlign w:val="top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地方资金</w:t>
                  </w:r>
                </w:p>
              </w:tc>
              <w:tc>
                <w:tcPr>
                  <w:tcW w:w="7328" w:type="dxa"/>
                  <w:gridSpan w:val="5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restart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总体目标</w:t>
                  </w:r>
                </w:p>
              </w:tc>
              <w:tc>
                <w:tcPr>
                  <w:tcW w:w="9394" w:type="dxa"/>
                  <w:gridSpan w:val="8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年度目标（2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21年）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4" w:type="dxa"/>
                  <w:gridSpan w:val="8"/>
                  <w:noWrap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1.（1）海曙区：2021年完成房源筹集7110套，其中新建改建租赁住房2938套，盘活4172套；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（2）江北区：2021年完成房源筹集5656套，其中新建改建租赁住房2815套，盘活2841套。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（3）镇海区：2021年完成房源筹集4944套，其中新建改建租赁住房3024套，盘活1920套。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（4）北仑区：2021年完成房源筹集4384套，其中新建改建租赁住房2224套，盘活2160套。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（5）鄞州区：2021年完成房源筹集9912套，其中新建改建租赁住房3270套，盘活6642套。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（6）奉化区：2021年完成房源筹集4129套，其中新建改建租赁住房3105套，盘活1024套。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（7）余姚市：2021年完成房源筹集9399套，其中新建改建租赁住房3254套，盘活6145套。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（8）慈溪市：2021年完成房源筹集8552套，其中新建改建租赁住房2737套，盘活5815套。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（9）宁海县：2021年完成房源筹集3521套，其中新建改建租赁住房2580套，盘活941套。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（10）象山县：2021年完成房源筹集1149套，其中新建改建租赁住房125套，盘活1024套。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（11）杭州湾新区：2021年完成房源筹集2076套，其中新建改建租赁住房2000套，盘活76套。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培育1家专业化、规模化企业。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（12）大榭开发区：2021年完成房源筹集276套，其中新建改建租赁住房200套，盘活76套。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（13）梅山保税港区：2021年完成房源筹集276套，其中新建改建租赁住房200套，盘活76套。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（14）国家高新区：2021年完成房源筹集276套，其中新建改建租赁住房200套，盘活76套。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18"/>
                    </w:rPr>
                    <w:t>（15）东钱湖旅游度假区：2021年完成房源筹集421套，其中新建改建租赁住房396套，盘活25套。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2.进一步健全住房租赁市场制度和体制机制。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restart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一级指标</w:t>
                  </w:r>
                </w:p>
              </w:tc>
              <w:tc>
                <w:tcPr>
                  <w:tcW w:w="2127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二级指标</w:t>
                  </w:r>
                </w:p>
              </w:tc>
              <w:tc>
                <w:tcPr>
                  <w:tcW w:w="4224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三级指标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指标值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产出指标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数量指标</w:t>
                  </w: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新建、改建租赁住房数量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≥各区县市任务数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盘活存量房源数量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≥各区县市任务数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培育专业化规模化企业数量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≥各区县市任务数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时效指标</w:t>
                  </w: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开工目标完成率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效益指标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社会效益指标</w:t>
                  </w: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租金价格涨幅是否控制在合理区间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不高于当地人均可支配收入增幅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是否落实整顿规范住房租赁市场秩序的要求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restart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可持续影响指标</w:t>
                  </w: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制定住房租赁管理相关政策制度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建立存量房源基础数据库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建立完成租赁管理服务平台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建立住房租赁企业和房地产经纪机构数据库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新增房源和住房租赁合同网签备案率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24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奖补项目纳入租赁管理服务平台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1" w:type="dxa"/>
                  <w:vMerge w:val="continue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满意度指标</w:t>
                  </w:r>
                </w:p>
              </w:tc>
              <w:tc>
                <w:tcPr>
                  <w:tcW w:w="2127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服务对象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满意度指标</w:t>
                  </w:r>
                </w:p>
              </w:tc>
              <w:tc>
                <w:tcPr>
                  <w:tcW w:w="4224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租住财政奖补项目承租人满意度指标</w:t>
                  </w:r>
                </w:p>
              </w:tc>
              <w:tc>
                <w:tcPr>
                  <w:tcW w:w="1768" w:type="dxa"/>
                  <w:gridSpan w:val="2"/>
                  <w:noWrap/>
                  <w:vAlign w:val="top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≥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80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绩效目标的编制统筹考虑2020年、2021年提前下达的绩效目标情况。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指标解释：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改建租赁住房：指工业厂房、商业用房、城中村城边村、闲置毛坯房以及其他改建的租赁住房项目。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盘活存量房源：将闲置住宅转化为租赁住房。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专业化、规模化住房租赁企业：一线城市房源在2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套（间）或面积达到5万平方米以上；二线及以下城市房源在1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套（间）或面积达到3万平方米以上。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整顿规范住房租赁市场秩序的要求，包括出台落实建房规〔2019〕10号的政策文件；建立多部门联合监管机制；建立矛盾纠纷调处机制；落实网络平台责任；动态监管房源发布；管控住房租赁金融业务；加强高风险住房租赁企业监管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6.住房租赁管理相关政策制度：包含租赁住房发展规划；明确租赁住房用地年度计划；出台个人出租住房的税收优惠政策；出台贷款支持、财政贴息等金融政策；出台非住宅改建为租赁住房的实施办法等。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新增房源和住房租赁合同网签备案率：指纳入财政奖补项目的房源及租赁合同备案率。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28B6"/>
    <w:rsid w:val="654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2021-06-07T07:36:00Z</dcterms:created>
  <dc:creator>故事难戒</dc:creator>
  <cp:lastModifiedBy>故事难戒</cp:lastModifiedBy>
  <dcterms:modified xsi:type="dcterms:W3CDTF">2021-06-07T07:36:34Z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7809E241B5974A11A7A110F51BC2DF9B</vt:lpwstr>
  </property>
</Properties>
</file>