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kern w:val="0"/>
          <w:sz w:val="40"/>
          <w:szCs w:val="44"/>
        </w:rPr>
      </w:pPr>
      <w:r>
        <w:rPr>
          <w:rFonts w:hint="eastAsia" w:ascii="宋体" w:hAnsi="宋体" w:cs="宋体"/>
          <w:kern w:val="0"/>
          <w:sz w:val="40"/>
          <w:szCs w:val="44"/>
        </w:rPr>
        <w:t>2021年宁波市市级国库现金管理</w:t>
      </w:r>
    </w:p>
    <w:p>
      <w:pPr>
        <w:widowControl/>
        <w:jc w:val="center"/>
        <w:rPr>
          <w:rFonts w:ascii="宋体" w:hAnsi="宋体" w:cs="宋体"/>
          <w:kern w:val="0"/>
          <w:sz w:val="40"/>
          <w:szCs w:val="44"/>
        </w:rPr>
      </w:pPr>
      <w:r>
        <w:rPr>
          <w:rFonts w:hint="eastAsia" w:ascii="宋体" w:hAnsi="宋体" w:cs="宋体"/>
          <w:kern w:val="0"/>
          <w:sz w:val="40"/>
          <w:szCs w:val="44"/>
        </w:rPr>
        <w:t>参与银行团成员名单</w:t>
      </w:r>
    </w:p>
    <w:p>
      <w:pPr>
        <w:widowControl/>
        <w:jc w:val="center"/>
        <w:rPr>
          <w:rFonts w:hint="eastAsia" w:ascii="黑体" w:hAnsi="黑体" w:eastAsia="黑体" w:cs="宋体"/>
          <w:kern w:val="0"/>
          <w:sz w:val="28"/>
          <w:szCs w:val="44"/>
        </w:rPr>
      </w:pPr>
      <w:r>
        <w:rPr>
          <w:rFonts w:hint="eastAsia" w:ascii="黑体" w:hAnsi="黑体" w:eastAsia="黑体" w:cs="宋体"/>
          <w:kern w:val="0"/>
          <w:sz w:val="28"/>
          <w:szCs w:val="44"/>
        </w:rPr>
        <w:t>（排名</w:t>
      </w:r>
      <w:r>
        <w:rPr>
          <w:rFonts w:ascii="黑体" w:hAnsi="黑体" w:eastAsia="黑体" w:cs="宋体"/>
          <w:kern w:val="0"/>
          <w:sz w:val="28"/>
          <w:szCs w:val="44"/>
        </w:rPr>
        <w:t>不分先后</w:t>
      </w:r>
      <w:r>
        <w:rPr>
          <w:rFonts w:hint="eastAsia" w:ascii="黑体" w:hAnsi="黑体" w:eastAsia="黑体" w:cs="宋体"/>
          <w:kern w:val="0"/>
          <w:sz w:val="28"/>
          <w:szCs w:val="44"/>
        </w:rPr>
        <w:t>）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44"/>
        </w:rPr>
      </w:pPr>
      <w:r>
        <w:rPr>
          <w:rFonts w:hint="eastAsia" w:ascii="宋体" w:hAnsi="宋体" w:cs="宋体"/>
          <w:kern w:val="0"/>
          <w:sz w:val="24"/>
          <w:szCs w:val="44"/>
        </w:rPr>
        <w:t xml:space="preserve"> </w:t>
      </w:r>
      <w:r>
        <w:rPr>
          <w:rFonts w:ascii="宋体" w:hAnsi="宋体" w:cs="宋体"/>
          <w:kern w:val="0"/>
          <w:sz w:val="24"/>
          <w:szCs w:val="44"/>
        </w:rPr>
        <w:t xml:space="preserve"> </w:t>
      </w:r>
    </w:p>
    <w:tbl>
      <w:tblPr>
        <w:tblStyle w:val="2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1.中国工商银行股份有限公司宁波市分行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19.宁波银行股份有限公司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2.中国农业银行股份有限公司宁波市分行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20.宁波通商银行股份有限公司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3.中国银行股份有限公司宁波市分行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21.宁波东海银行股份有限公司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4.中国建设银行股份有限公司宁波市分行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22.上海银行股份有限公司宁波分行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5.交通银行股份有限公司宁波分行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23.浙江泰隆商业银行股份有限公司宁波分行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6.上海浦东发展银行股份有限公司宁波分行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24.杭州银行股份有限公司宁波分行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7.平安银行股份有限公司宁波分行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25.台州银行股份有限公司宁波分行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8.广发银行股份有限公司宁波分行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26.北京银行股份有限公司宁波分行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9.中国光大银行股份有限公司宁波分行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27.徽商银行股份有限公司宁波分行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10.招商银行股份有限公司宁波分行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28.宁波鄞州农村商业银行股份有限公司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11.中信银行股份有限公司宁波分行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29.宁波镇海农村商业银行股份有限公司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12.兴业银行股份有限公司宁波分行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30.宁波北仑农村商业银行股份有限公司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13.中国民生银行股份有限公司宁波分行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31.宁波奉化农村商业银行股份有限公司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14.浙商银行股份有限公司宁波分行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32.宁波慈溪农村商业银行股份有限公司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15.华夏银行股份有限公司宁波分行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33.宁波余姚农村商业银行股份有限公司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16.恒丰银行股份有限公司宁波分行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34.宁波宁海农村商业银行股份有限公司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17.渤海银行股份有限公司宁波分行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35.宁波甬城农村商业银行股份有限公司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18.中国邮政储蓄银行股份有限公司宁波分行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421D"/>
    <w:rsid w:val="7C6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2021-08-25T03:27:00Z</dcterms:created>
  <dc:creator>陈立君</dc:creator>
  <cp:lastModifiedBy>陈立君</cp:lastModifiedBy>
  <dcterms:modified xsi:type="dcterms:W3CDTF">2021-08-25T03:27:31Z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C74A124BC5654EDF99D761CB60AAC422</vt:lpwstr>
  </property>
</Properties>
</file>